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9 (Cyber Essentials Scheme) </w:t>
      </w:r>
    </w:p>
    <w:p w:rsidR="00000000" w:rsidDel="00000000" w:rsidP="00000000" w:rsidRDefault="00000000" w:rsidRPr="00000000" w14:paraId="00000002">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426" w:right="0" w:hanging="426"/>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003">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0" w:right="0" w:hanging="63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234.0" w:type="dxa"/>
        <w:jc w:val="left"/>
        <w:tblInd w:w="10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50"/>
        <w:gridCol w:w="5084"/>
        <w:tblGridChange w:id="0">
          <w:tblGrid>
            <w:gridCol w:w="3150"/>
            <w:gridCol w:w="5084"/>
          </w:tblGrid>
        </w:tblGridChange>
      </w:tblGrid>
      <w:tr>
        <w:trPr>
          <w:cantSplit w:val="0"/>
          <w:tblHeader w:val="0"/>
        </w:trPr>
        <w:tc>
          <w:tcPr/>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Scheme"</w:t>
            </w:r>
          </w:p>
        </w:tc>
        <w:tc>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Scheme developed by the Government which provides a clear statement of the basic controls all organisations should implement to mitigate the risk from common internet based threats (as may be amended from time to time). Details of the Cyber Essentials Scheme can be found at: </w:t>
            </w:r>
            <w:hyperlink r:id="rId7">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https://www.cyberessentials.ncsc.gov.uk/</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Basic Certificate"</w:t>
            </w:r>
          </w:p>
        </w:tc>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certificate awarded on the basis  of self-assessment, verified by an independent certification body, under the Cyber Essentials Scheme and is the basic level of assurance;</w:t>
            </w:r>
            <w:r w:rsidDel="00000000" w:rsidR="00000000" w:rsidRPr="00000000">
              <w:rPr>
                <w:rtl w:val="0"/>
              </w:rPr>
            </w:r>
          </w:p>
        </w:tc>
      </w:tr>
      <w:tr>
        <w:trPr>
          <w:cantSplit w:val="0"/>
          <w:tblHeader w:val="0"/>
        </w:trPr>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Certificate"</w:t>
            </w:r>
          </w:p>
        </w:tc>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576"/>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Basic Certificate or the Cyber Essentials Plus Certificate to be provided by the Supplier as set out in the Framework Award Form</w:t>
            </w:r>
          </w:p>
        </w:tc>
      </w:tr>
      <w:tr>
        <w:trPr>
          <w:cantSplit w:val="0"/>
          <w:tblHeader w:val="0"/>
        </w:trPr>
        <w:tc>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 Scheme Data"</w:t>
            </w:r>
          </w:p>
        </w:tc>
        <w:tc>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sensitive and personal information and other relevant information as referred to in the Cyber Essentials Scheme; and</w:t>
            </w:r>
            <w:r w:rsidDel="00000000" w:rsidR="00000000" w:rsidRPr="00000000">
              <w:rPr>
                <w:rtl w:val="0"/>
              </w:rPr>
            </w:r>
          </w:p>
        </w:tc>
      </w:tr>
      <w:tr>
        <w:trPr>
          <w:cantSplit w:val="0"/>
          <w:tblHeader w:val="0"/>
        </w:trPr>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Plus Certificate"</w:t>
            </w:r>
          </w:p>
        </w:tc>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certification awarded on the basis of external testing by an independent certification body of the Supplier’s cyber security approach under the Cyber Essentials Scheme and is a more advanced level of assurance.</w:t>
            </w:r>
            <w:r w:rsidDel="00000000" w:rsidR="00000000" w:rsidRPr="00000000">
              <w:rPr>
                <w:rtl w:val="0"/>
              </w:rPr>
            </w:r>
          </w:p>
        </w:tc>
      </w:tr>
    </w:tbl>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What Certification do you need</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64" w:right="0" w:hanging="504"/>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2.1 Where the Framework Award Form requires that the Supplier provide a Cyber Essentials Certificate or Cyber Essentials Plus Certificate prior to the award of the Framework Contract the Supplier shall provide a valid Cyber Essentials Certificate or Cyber Essentials Plus Certificate to CCS. Where the Supplier fails to comply with this Paragraph it shall be prohibited from commencing the provision of Deliverables under any Contract until such time as the Supplier has evidenced to CCS its compliance with this Paragraph 2.1.</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64" w:right="0" w:hanging="504"/>
        <w:jc w:val="left"/>
        <w:rPr>
          <w:rFonts w:ascii="Arial" w:cs="Arial" w:eastAsia="Arial" w:hAnsi="Arial"/>
          <w:b w:val="1"/>
          <w:i w:val="0"/>
          <w:smallCaps w:val="0"/>
          <w:strike w:val="0"/>
          <w:color w:val="000000"/>
          <w:sz w:val="24"/>
          <w:szCs w:val="24"/>
          <w:highlight w:val="yellow"/>
          <w:u w:val="none"/>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2.2 Where the Supplier continues to process data during the Contract Period of any Call-Off Contract the Supplier shall deliver to CCS evidence of renewal of the Cyber Essentials Certificate or Cyber Essentials Plus Certificate on each anniversary of the first applicable certificate obtained by the Supplier under Paragraph 2.1.</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64" w:right="0" w:hanging="504"/>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2.3 Where the Supplier is due to process data after the Start date of the first Call-Off Contract but before the end of the Framework Period or Contact Period of the last Call-Off Contract, the Supplier shall deliver to CCS evidence of:</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1368" w:right="0" w:hanging="504.000000000000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2.3.1 a valid and current Cyber Essentials Certificate before the Supplier    processes any such Cyber Essentials Scheme Data; and</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1368" w:right="0" w:hanging="504.000000000000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2.3.2 renewal of the valid Cyber Essentials Certificate on each  anniversary of the first Cyber Essentials Scheme certificate obtained by the Supplier under Paragraph 2.1</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9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2.4 In the event that the Supplier fails to comply with Paragraphs 2.2 or 2.3 (as applicable), CCS reserves the right to terminate this Contract for material Default.</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9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2.5 The Supplier shall ensure that all Sub-Contracts with Subcontractors who </w:t>
      </w:r>
      <w:bookmarkStart w:colFirst="0" w:colLast="0" w:name="bookmark=id.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Process Cyber Essentials Data contain provisions no less onerous on the Subcontractors than those imposed on the Supplier under this Contract in respect of the Cyber Essentials Scheme under Paragraph 2.1 of this Schedule.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92" w:right="0" w:hanging="360"/>
        <w:jc w:val="left"/>
        <w:rPr>
          <w:rFonts w:ascii="Arial" w:cs="Arial" w:eastAsia="Arial" w:hAnsi="Arial"/>
          <w:b w:val="0"/>
          <w:i w:val="0"/>
          <w:smallCaps w:val="0"/>
          <w:strike w:val="0"/>
          <w:color w:val="000000"/>
          <w:sz w:val="24"/>
          <w:szCs w:val="24"/>
          <w:u w:val="none"/>
          <w:shd w:fill="auto" w:val="clear"/>
          <w:vertAlign w:val="baseline"/>
        </w:rPr>
        <w:sectPr>
          <w:headerReference r:id="rId8" w:type="default"/>
          <w:headerReference r:id="rId9" w:type="first"/>
          <w:footerReference r:id="rId10" w:type="default"/>
          <w:footerReference r:id="rId11" w:type="first"/>
          <w:pgSz w:h="16838" w:w="11906" w:orient="portrait"/>
          <w:pgMar w:bottom="1440" w:top="1440" w:left="1440" w:right="1440" w:header="709" w:footer="709"/>
          <w:pgNumType w:start="1"/>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2.6 This Schedule shall survive termination or expiry of this Contract and each and any Call-Off Contract.</w:t>
      </w:r>
    </w:p>
    <w:p w:rsidR="00000000" w:rsidDel="00000000" w:rsidP="00000000" w:rsidRDefault="00000000" w:rsidRPr="00000000" w14:paraId="00000018">
      <w:pPr>
        <w:rPr>
          <w:rFonts w:ascii="Arial" w:cs="Arial" w:eastAsia="Arial" w:hAnsi="Arial"/>
          <w:sz w:val="24"/>
          <w:szCs w:val="24"/>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tabs>
        <w:tab w:val="center" w:pos="4513"/>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bfbfbf"/>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bfbfbf"/>
        <w:sz w:val="22"/>
        <w:szCs w:val="22"/>
        <w:u w:val="none"/>
        <w:shd w:fill="auto" w:val="clear"/>
        <w:vertAlign w:val="baseline"/>
      </w:rPr>
    </w:pP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 xml:space="preserve">Model Version: v3.0</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2">
    <w:pPr>
      <w:tabs>
        <w:tab w:val="center" w:pos="4513"/>
        <w:tab w:val="right"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v3.2</w:t>
      <w:tab/>
    </w:r>
    <w:r w:rsidDel="00000000" w:rsidR="00000000" w:rsidRPr="00000000">
      <w:rPr>
        <w:rFonts w:ascii="Arial" w:cs="Arial" w:eastAsia="Arial" w:hAnsi="Arial"/>
        <w:color w:val="bfbfbf"/>
        <w:sz w:val="20"/>
        <w:szCs w:val="2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1"/>
        <w:i w:val="0"/>
        <w:smallCaps w:val="0"/>
        <w:strike w:val="0"/>
        <w:color w:val="bfbfbf"/>
        <w:sz w:val="20"/>
        <w:szCs w:val="20"/>
        <w:u w:val="none"/>
        <w:shd w:fill="auto" w:val="clear"/>
        <w:vertAlign w:val="baseline"/>
        <w:rtl w:val="0"/>
      </w:rPr>
      <w:t xml:space="preserve">Framework Schedule 9 (Cyber Essential Scheme)</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 xml:space="preserve">Crown Copyright 2018</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Framework Schedule 9 (Cyber Essential Scheme)</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94"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421"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ascii="Calibri" w:cs="Times New Roman" w:eastAsia="Calibri"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qFormat w:val="1"/>
    <w:pPr>
      <w:numPr>
        <w:ilvl w:val="4"/>
      </w:numPr>
      <w:tabs>
        <w:tab w:val="num" w:pos="360"/>
        <w:tab w:val="left" w:pos="3119"/>
      </w:tabs>
    </w:pPr>
  </w:style>
  <w:style w:type="paragraph" w:styleId="GPSL2NumberedBoldHeading" w:customStyle="1">
    <w:name w:val="GPS L2 Numbered Bold Heading"/>
    <w:basedOn w:val="Normal"/>
    <w:qFormat w:val="1"/>
    <w:pPr>
      <w:numPr>
        <w:ilvl w:val="1"/>
        <w:numId w:val="1"/>
      </w:numPr>
      <w:adjustRightInd w:val="0"/>
      <w:spacing w:after="120" w:before="120" w:line="240" w:lineRule="auto"/>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paragraph" w:styleId="GPSDefinitionL2" w:customStyle="1">
    <w:name w:val="GPS Definition L2"/>
    <w:basedOn w:val="Normal"/>
    <w:pPr>
      <w:tabs>
        <w:tab w:val="left" w:pos="-576"/>
      </w:tabs>
      <w:overflowPunct w:val="0"/>
      <w:autoSpaceDE w:val="0"/>
      <w:autoSpaceDN w:val="0"/>
      <w:spacing w:after="120" w:line="240" w:lineRule="auto"/>
      <w:ind w:hanging="545"/>
      <w:jc w:val="both"/>
      <w:textAlignment w:val="baseline"/>
    </w:pPr>
    <w:rPr>
      <w:rFonts w:ascii="Arial" w:cs="Arial" w:eastAsia="Times New Roman" w:hAnsi="Arial"/>
    </w:rPr>
  </w:style>
  <w:style w:type="paragraph" w:styleId="GPSL2Numbered" w:customStyle="1">
    <w:name w:val="GPS L2 Numbered"/>
    <w:basedOn w:val="GPSL2NumberedBoldHeading"/>
    <w:pPr>
      <w:numPr>
        <w:ilvl w:val="0"/>
        <w:numId w:val="0"/>
      </w:numPr>
      <w:tabs>
        <w:tab w:val="left" w:pos="709"/>
      </w:tabs>
      <w:autoSpaceDN w:val="0"/>
      <w:adjustRightInd w:val="1"/>
      <w:ind w:left="1494" w:hanging="360"/>
    </w:pPr>
    <w:rPr>
      <w:b w:val="0"/>
    </w:rPr>
  </w:style>
  <w:style w:type="paragraph" w:styleId="GPSDefinitionL4" w:customStyle="1">
    <w:name w:val="GPS Definition L4"/>
    <w:basedOn w:val="Normal"/>
    <w:pPr>
      <w:numPr>
        <w:numId w:val="2"/>
      </w:numPr>
      <w:tabs>
        <w:tab w:val="left" w:pos="-2656"/>
        <w:tab w:val="left" w:pos="-2440"/>
      </w:tabs>
      <w:overflowPunct w:val="0"/>
      <w:autoSpaceDE w:val="0"/>
      <w:autoSpaceDN w:val="0"/>
      <w:spacing w:after="120" w:line="240" w:lineRule="auto"/>
      <w:jc w:val="both"/>
      <w:textAlignment w:val="baseline"/>
    </w:pPr>
    <w:rPr>
      <w:rFonts w:ascii="Arial" w:cs="Arial" w:eastAsia="Times New Roman" w:hAnsi="Arial"/>
    </w:rPr>
  </w:style>
  <w:style w:type="numbering" w:styleId="LFO12" w:customStyle="1">
    <w:name w:val="LFO12"/>
    <w:basedOn w:val="NoList"/>
    <w:pPr>
      <w:numPr>
        <w:numId w:val="2"/>
      </w:numPr>
    </w:pPr>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B75555"/>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yberessentials.ncsc.gov.uk/" TargetMode="Externa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j56pxolTGwJ9GX4iStW0M9Be8w==">AMUW2mUCdB6dR74TM4W6E64PuXNQiAWeg1kxpe4BwbhaTk7yUF+9+tgyF6F9LKGuzBBQKOeU2+GUkcuWYI8g6N40NV0u0AUitjH1PWm60z2wzRitWN+PTIrTZxbgG53pUlI3rY0Gw4YdBCY0WGpOIt6KoTS14I2Rgua4tzYyxWOKHlT3SxJ+tFg=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2019-02-07T14:25:00Z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